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9B47EA" w:rsidRDefault="009B47EA" w:rsidP="009B47EA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CF0C2A">
        <w:rPr>
          <w:rFonts w:eastAsia="Calibri"/>
          <w:b/>
          <w:szCs w:val="24"/>
        </w:rPr>
        <w:t xml:space="preserve">Лот №1: </w:t>
      </w:r>
      <w:r w:rsidRPr="00011384">
        <w:rPr>
          <w:rFonts w:eastAsia="Calibri"/>
          <w:b/>
          <w:szCs w:val="24"/>
        </w:rPr>
        <w:t xml:space="preserve">реагент </w:t>
      </w:r>
      <w:proofErr w:type="spellStart"/>
      <w:r w:rsidRPr="00011384">
        <w:rPr>
          <w:rFonts w:eastAsia="Calibri"/>
          <w:b/>
          <w:szCs w:val="24"/>
        </w:rPr>
        <w:t>Метилэтилкетон</w:t>
      </w:r>
      <w:proofErr w:type="spellEnd"/>
      <w:r w:rsidRPr="00011384">
        <w:rPr>
          <w:rFonts w:eastAsia="Calibri"/>
          <w:b/>
          <w:szCs w:val="24"/>
        </w:rPr>
        <w:t xml:space="preserve"> (МЭК</w:t>
      </w:r>
      <w:r>
        <w:rPr>
          <w:rFonts w:eastAsia="Calibri"/>
          <w:b/>
          <w:szCs w:val="24"/>
        </w:rPr>
        <w:t>);</w:t>
      </w:r>
    </w:p>
    <w:p w:rsidR="009B47EA" w:rsidRPr="00E10AEB" w:rsidRDefault="009B47EA" w:rsidP="009B47EA">
      <w:pPr>
        <w:suppressAutoHyphens w:val="0"/>
        <w:ind w:left="720"/>
        <w:jc w:val="both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Лот №2: </w:t>
      </w:r>
      <w:r w:rsidRPr="00011384">
        <w:rPr>
          <w:rFonts w:eastAsia="Calibri"/>
          <w:b/>
          <w:szCs w:val="24"/>
        </w:rPr>
        <w:t xml:space="preserve">реагент N </w:t>
      </w:r>
      <w:proofErr w:type="spellStart"/>
      <w:r w:rsidRPr="00011384">
        <w:rPr>
          <w:rFonts w:eastAsia="Calibri"/>
          <w:b/>
          <w:szCs w:val="24"/>
        </w:rPr>
        <w:t>Метилпирролидон</w:t>
      </w:r>
      <w:proofErr w:type="spellEnd"/>
      <w:r>
        <w:rPr>
          <w:rFonts w:eastAsia="Calibri"/>
          <w:b/>
          <w:szCs w:val="24"/>
        </w:rPr>
        <w:t>;</w:t>
      </w:r>
    </w:p>
    <w:p w:rsidR="009B47EA" w:rsidRPr="00CF0C2A" w:rsidRDefault="009B47EA" w:rsidP="009B47EA">
      <w:pPr>
        <w:suppressAutoHyphens w:val="0"/>
        <w:ind w:left="720"/>
        <w:jc w:val="both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Лот №3: </w:t>
      </w:r>
      <w:proofErr w:type="spellStart"/>
      <w:r w:rsidRPr="00011384">
        <w:rPr>
          <w:rFonts w:eastAsia="Calibri"/>
          <w:b/>
          <w:szCs w:val="24"/>
        </w:rPr>
        <w:t>диметилдисульфид</w:t>
      </w:r>
      <w:proofErr w:type="spellEnd"/>
      <w:r w:rsidRPr="00011384">
        <w:rPr>
          <w:rFonts w:eastAsia="Calibri"/>
          <w:b/>
          <w:szCs w:val="24"/>
        </w:rPr>
        <w:t>.</w:t>
      </w:r>
    </w:p>
    <w:p w:rsidR="009B47EA" w:rsidRPr="00442F60" w:rsidRDefault="009B47EA" w:rsidP="009B47EA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9B47EA" w:rsidRDefault="009B47EA" w:rsidP="009B47EA">
      <w:pPr>
        <w:pStyle w:val="a6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610281">
        <w:rPr>
          <w:rFonts w:cs="Arial"/>
        </w:rPr>
        <w:t xml:space="preserve">Плановые сроки поставки товара: </w:t>
      </w:r>
    </w:p>
    <w:p w:rsidR="009B47EA" w:rsidRPr="00FE3600" w:rsidRDefault="009B47EA" w:rsidP="009B47EA">
      <w:pPr>
        <w:pStyle w:val="a6"/>
        <w:jc w:val="both"/>
        <w:rPr>
          <w:rFonts w:cs="Arial"/>
          <w:b/>
        </w:rPr>
      </w:pPr>
      <w:r w:rsidRPr="00FE3600">
        <w:rPr>
          <w:rFonts w:cs="Arial"/>
          <w:b/>
        </w:rPr>
        <w:t xml:space="preserve">Лот №1 </w:t>
      </w:r>
      <w:r>
        <w:rPr>
          <w:rFonts w:cs="Arial"/>
          <w:b/>
        </w:rPr>
        <w:t>январь</w:t>
      </w:r>
      <w:r w:rsidRPr="00FE3600">
        <w:rPr>
          <w:rFonts w:cs="Arial"/>
          <w:b/>
        </w:rPr>
        <w:t xml:space="preserve"> – </w:t>
      </w:r>
      <w:r>
        <w:rPr>
          <w:rFonts w:cs="Arial"/>
          <w:b/>
        </w:rPr>
        <w:t>сентя</w:t>
      </w:r>
      <w:r w:rsidRPr="00FE3600">
        <w:rPr>
          <w:rFonts w:cs="Arial"/>
          <w:b/>
        </w:rPr>
        <w:t>брь 201</w:t>
      </w:r>
      <w:r>
        <w:rPr>
          <w:rFonts w:cs="Arial"/>
          <w:b/>
        </w:rPr>
        <w:t>9</w:t>
      </w:r>
      <w:r w:rsidRPr="00FE3600">
        <w:rPr>
          <w:rFonts w:cs="Arial"/>
          <w:b/>
        </w:rPr>
        <w:t>,</w:t>
      </w:r>
    </w:p>
    <w:p w:rsidR="009B47EA" w:rsidRPr="00FE3600" w:rsidRDefault="009B47EA" w:rsidP="009B47EA">
      <w:pPr>
        <w:pStyle w:val="a6"/>
        <w:jc w:val="both"/>
        <w:rPr>
          <w:rFonts w:cs="Arial"/>
          <w:b/>
        </w:rPr>
      </w:pPr>
      <w:r w:rsidRPr="00FE3600">
        <w:rPr>
          <w:rFonts w:cs="Arial"/>
          <w:b/>
        </w:rPr>
        <w:t xml:space="preserve">Лот №2 январь – </w:t>
      </w:r>
      <w:r>
        <w:rPr>
          <w:rFonts w:cs="Arial"/>
          <w:b/>
        </w:rPr>
        <w:t>декабрь 2019</w:t>
      </w:r>
      <w:r w:rsidRPr="00FE3600">
        <w:rPr>
          <w:rFonts w:cs="Arial"/>
          <w:b/>
        </w:rPr>
        <w:t>,</w:t>
      </w:r>
    </w:p>
    <w:p w:rsidR="00CD00A4" w:rsidRPr="00CD00A4" w:rsidRDefault="009B47EA" w:rsidP="009B47EA">
      <w:pPr>
        <w:pStyle w:val="a6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FE3600">
        <w:rPr>
          <w:rFonts w:cs="Arial"/>
          <w:b/>
        </w:rPr>
        <w:t>Лот №3 февраль – март 201</w:t>
      </w:r>
      <w:r>
        <w:rPr>
          <w:rFonts w:cs="Arial"/>
          <w:b/>
        </w:rPr>
        <w:t>9</w:t>
      </w:r>
      <w:r w:rsidRPr="00FE3600">
        <w:rPr>
          <w:rFonts w:cs="Arial"/>
          <w:b/>
        </w:rPr>
        <w:t>.</w:t>
      </w:r>
    </w:p>
    <w:p w:rsidR="00A57972" w:rsidRDefault="00A57972" w:rsidP="00CD00A4">
      <w:pPr>
        <w:pStyle w:val="a6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EA6F68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9B47EA">
        <w:rPr>
          <w:rFonts w:eastAsia="Calibri"/>
          <w:b/>
          <w:u w:val="single"/>
        </w:rPr>
        <w:t>:</w:t>
      </w:r>
    </w:p>
    <w:p w:rsidR="009B47EA" w:rsidRDefault="009B47EA" w:rsidP="009B47EA">
      <w:pPr>
        <w:spacing w:after="120"/>
        <w:ind w:left="142" w:firstLine="425"/>
        <w:contextualSpacing/>
        <w:jc w:val="both"/>
        <w:rPr>
          <w:rFonts w:eastAsia="Calibri"/>
          <w:b/>
          <w:szCs w:val="24"/>
        </w:rPr>
      </w:pPr>
      <w:r>
        <w:rPr>
          <w:rFonts w:eastAsia="Calibri"/>
          <w:b/>
          <w:u w:val="single"/>
        </w:rPr>
        <w:t xml:space="preserve">Лот № 1: </w:t>
      </w:r>
      <w:r w:rsidRPr="00011384">
        <w:rPr>
          <w:rFonts w:eastAsia="Calibri"/>
          <w:b/>
          <w:szCs w:val="24"/>
        </w:rPr>
        <w:t xml:space="preserve">реагент </w:t>
      </w:r>
      <w:proofErr w:type="spellStart"/>
      <w:r>
        <w:rPr>
          <w:rFonts w:eastAsia="Calibri"/>
          <w:b/>
          <w:szCs w:val="24"/>
        </w:rPr>
        <w:t>Метилэтилкетон</w:t>
      </w:r>
      <w:proofErr w:type="spellEnd"/>
      <w:r>
        <w:rPr>
          <w:rFonts w:eastAsia="Calibri"/>
          <w:b/>
          <w:szCs w:val="24"/>
        </w:rPr>
        <w:t>(МЭК)</w:t>
      </w:r>
    </w:p>
    <w:p w:rsidR="009B47EA" w:rsidRDefault="009B47EA" w:rsidP="00854929">
      <w:pPr>
        <w:spacing w:after="120"/>
        <w:ind w:left="142"/>
        <w:contextualSpacing/>
        <w:jc w:val="both"/>
        <w:rPr>
          <w:rFonts w:eastAsia="Calibri"/>
          <w:b/>
          <w:u w:val="single"/>
        </w:rPr>
      </w:pPr>
      <w:r w:rsidRPr="005756AD">
        <w:rPr>
          <w:rFonts w:eastAsia="Calibri"/>
          <w:b/>
          <w:noProof/>
          <w:lang w:eastAsia="ru-RU"/>
        </w:rPr>
        <w:drawing>
          <wp:inline distT="0" distB="0" distL="0" distR="0" wp14:anchorId="64489367" wp14:editId="4F4BC6F6">
            <wp:extent cx="5765800" cy="3708693"/>
            <wp:effectExtent l="0" t="0" r="6350" b="63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149" cy="371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7EA">
        <w:rPr>
          <w:rFonts w:eastAsia="Calibri"/>
          <w:b/>
          <w:u w:val="single"/>
        </w:rPr>
        <w:t xml:space="preserve"> </w:t>
      </w:r>
    </w:p>
    <w:p w:rsidR="009B47EA" w:rsidRDefault="009B47EA" w:rsidP="009B47EA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lastRenderedPageBreak/>
        <w:t xml:space="preserve">Лот № 2: </w:t>
      </w:r>
      <w:r w:rsidRPr="00011384">
        <w:rPr>
          <w:rFonts w:eastAsia="Calibri"/>
          <w:b/>
          <w:szCs w:val="24"/>
        </w:rPr>
        <w:t xml:space="preserve">реагент N </w:t>
      </w:r>
      <w:proofErr w:type="spellStart"/>
      <w:r w:rsidRPr="00011384">
        <w:rPr>
          <w:rFonts w:eastAsia="Calibri"/>
          <w:b/>
          <w:szCs w:val="24"/>
        </w:rPr>
        <w:t>Метилпирролидон</w:t>
      </w:r>
      <w:proofErr w:type="spellEnd"/>
    </w:p>
    <w:p w:rsidR="009B47EA" w:rsidRDefault="009B47EA" w:rsidP="00854929">
      <w:pPr>
        <w:autoSpaceDE w:val="0"/>
        <w:autoSpaceDN w:val="0"/>
        <w:adjustRightInd w:val="0"/>
        <w:ind w:left="142"/>
        <w:jc w:val="both"/>
        <w:rPr>
          <w:rFonts w:eastAsia="Times New Roman"/>
          <w:iCs/>
          <w:szCs w:val="24"/>
          <w:lang w:eastAsia="ru-RU"/>
        </w:rPr>
      </w:pPr>
      <w:r w:rsidRPr="009B47EA">
        <w:rPr>
          <w:rFonts w:eastAsia="Calibri"/>
          <w:b/>
          <w:noProof/>
          <w:lang w:eastAsia="ru-RU"/>
        </w:rPr>
        <w:drawing>
          <wp:inline distT="0" distB="0" distL="0" distR="0" wp14:anchorId="4A142A54" wp14:editId="02A8AB64">
            <wp:extent cx="5790663" cy="3352165"/>
            <wp:effectExtent l="0" t="0" r="635" b="63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38" cy="3358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7EA" w:rsidRDefault="009B47EA" w:rsidP="009B47EA">
      <w:pPr>
        <w:spacing w:after="120"/>
        <w:ind w:left="142" w:firstLine="425"/>
        <w:contextualSpacing/>
        <w:jc w:val="both"/>
        <w:rPr>
          <w:rFonts w:eastAsia="Calibri"/>
          <w:b/>
          <w:szCs w:val="24"/>
        </w:rPr>
      </w:pPr>
      <w:r>
        <w:rPr>
          <w:rFonts w:eastAsia="Calibri"/>
          <w:b/>
          <w:u w:val="single"/>
        </w:rPr>
        <w:t xml:space="preserve">Лот № 3: </w:t>
      </w:r>
      <w:proofErr w:type="spellStart"/>
      <w:r>
        <w:rPr>
          <w:rFonts w:eastAsia="Calibri"/>
          <w:b/>
          <w:szCs w:val="24"/>
        </w:rPr>
        <w:t>Диметилдисульфид</w:t>
      </w:r>
      <w:proofErr w:type="spellEnd"/>
    </w:p>
    <w:p w:rsidR="009B47EA" w:rsidRDefault="009B47EA" w:rsidP="00854929">
      <w:pPr>
        <w:spacing w:after="120"/>
        <w:ind w:left="142"/>
        <w:contextualSpacing/>
        <w:jc w:val="both"/>
        <w:rPr>
          <w:rFonts w:eastAsia="Calibri"/>
          <w:b/>
          <w:szCs w:val="24"/>
        </w:rPr>
      </w:pPr>
      <w:r w:rsidRPr="00FE3600">
        <w:rPr>
          <w:rFonts w:eastAsia="Calibri"/>
          <w:b/>
          <w:noProof/>
          <w:szCs w:val="24"/>
          <w:lang w:eastAsia="ru-RU"/>
        </w:rPr>
        <w:drawing>
          <wp:inline distT="0" distB="0" distL="0" distR="0" wp14:anchorId="4117C386" wp14:editId="47B4C2F9">
            <wp:extent cx="6032076" cy="1918875"/>
            <wp:effectExtent l="0" t="0" r="6985" b="57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109" cy="192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F68" w:rsidRPr="00EA6F68" w:rsidRDefault="00EA6F68" w:rsidP="00EA6F68">
      <w:pPr>
        <w:suppressAutoHyphens w:val="0"/>
        <w:autoSpaceDE w:val="0"/>
        <w:autoSpaceDN w:val="0"/>
        <w:adjustRightInd w:val="0"/>
        <w:ind w:firstLine="567"/>
        <w:rPr>
          <w:rFonts w:eastAsia="Calibri"/>
          <w:b/>
          <w:iCs/>
        </w:rPr>
      </w:pPr>
    </w:p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9B47EA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9B47EA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9B47EA" w:rsidRDefault="009B47EA" w:rsidP="009B47EA">
      <w:pPr>
        <w:autoSpaceDE w:val="0"/>
        <w:autoSpaceDN w:val="0"/>
        <w:adjustRightInd w:val="0"/>
        <w:ind w:firstLine="426"/>
        <w:contextualSpacing/>
        <w:jc w:val="both"/>
        <w:rPr>
          <w:rFonts w:cs="Arial"/>
        </w:rPr>
      </w:pPr>
      <w:r>
        <w:rPr>
          <w:rFonts w:cs="Arial"/>
        </w:rPr>
        <w:t>На продукцию имеются следующие документы:</w:t>
      </w:r>
    </w:p>
    <w:p w:rsidR="009B47EA" w:rsidRDefault="009B47EA" w:rsidP="009B47EA">
      <w:pPr>
        <w:autoSpaceDE w:val="0"/>
        <w:autoSpaceDN w:val="0"/>
        <w:adjustRightInd w:val="0"/>
        <w:ind w:firstLine="426"/>
        <w:contextualSpacing/>
        <w:jc w:val="both"/>
        <w:rPr>
          <w:rFonts w:cs="Arial"/>
        </w:rPr>
      </w:pPr>
      <w:r>
        <w:rPr>
          <w:rFonts w:cs="Arial"/>
        </w:rPr>
        <w:t xml:space="preserve">- действующий сертификат </w:t>
      </w:r>
      <w:proofErr w:type="spellStart"/>
      <w:r>
        <w:rPr>
          <w:rFonts w:cs="Arial"/>
        </w:rPr>
        <w:t>Ростехнадзора</w:t>
      </w:r>
      <w:proofErr w:type="spellEnd"/>
      <w:r>
        <w:rPr>
          <w:rFonts w:cs="Arial"/>
        </w:rPr>
        <w:t>;</w:t>
      </w:r>
    </w:p>
    <w:p w:rsidR="009B47EA" w:rsidRDefault="009B47EA" w:rsidP="009B47EA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>
        <w:rPr>
          <w:rFonts w:cs="Arial"/>
        </w:rPr>
        <w:t xml:space="preserve">- гарантийное письмо с подтверждением обязательства получения разрешения МВД России на перевозку и продажу реагента, отнесенного к </w:t>
      </w:r>
      <w:proofErr w:type="spellStart"/>
      <w:r>
        <w:rPr>
          <w:rFonts w:cs="Arial"/>
        </w:rPr>
        <w:t>прекурсорам</w:t>
      </w:r>
      <w:proofErr w:type="spellEnd"/>
      <w:r>
        <w:rPr>
          <w:rFonts w:cs="Arial"/>
        </w:rPr>
        <w:t xml:space="preserve"> списка </w:t>
      </w:r>
      <w:r>
        <w:rPr>
          <w:rFonts w:cs="Arial"/>
          <w:lang w:val="en-US"/>
        </w:rPr>
        <w:t>IV</w:t>
      </w:r>
      <w:r>
        <w:rPr>
          <w:rFonts w:cs="Arial"/>
        </w:rPr>
        <w:t xml:space="preserve"> перечня </w:t>
      </w:r>
      <w:proofErr w:type="spellStart"/>
      <w:r>
        <w:rPr>
          <w:rFonts w:cs="Arial"/>
        </w:rPr>
        <w:t>прекурсоров</w:t>
      </w:r>
      <w:proofErr w:type="spellEnd"/>
      <w:r>
        <w:rPr>
          <w:rFonts w:cs="Arial"/>
        </w:rPr>
        <w:t>, утвержденного   Постановлением Правительства РФ от 30.06.98 № 681;</w:t>
      </w:r>
    </w:p>
    <w:p w:rsidR="009B47EA" w:rsidRDefault="009B47EA" w:rsidP="009B47EA">
      <w:pPr>
        <w:autoSpaceDE w:val="0"/>
        <w:autoSpaceDN w:val="0"/>
        <w:adjustRightInd w:val="0"/>
        <w:ind w:firstLine="426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</w:p>
    <w:p w:rsidR="009B47EA" w:rsidRDefault="009B47EA" w:rsidP="009B47EA">
      <w:pPr>
        <w:autoSpaceDE w:val="0"/>
        <w:autoSpaceDN w:val="0"/>
        <w:adjustRightInd w:val="0"/>
        <w:ind w:firstLine="426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9B47EA" w:rsidRDefault="009B47EA" w:rsidP="005756AD">
      <w:pPr>
        <w:autoSpaceDE w:val="0"/>
        <w:autoSpaceDN w:val="0"/>
        <w:adjustRightInd w:val="0"/>
        <w:ind w:firstLine="426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</w:t>
      </w:r>
      <w:r w:rsidR="005756AD">
        <w:rPr>
          <w:rFonts w:cs="Arial"/>
        </w:rPr>
        <w:t>.</w:t>
      </w:r>
    </w:p>
    <w:p w:rsidR="00A57972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</w:t>
      </w:r>
      <w:r w:rsidRPr="00BC1DB1">
        <w:rPr>
          <w:rFonts w:eastAsia="Times New Roman"/>
          <w:szCs w:val="24"/>
          <w:lang w:eastAsia="ru-RU"/>
        </w:rPr>
        <w:t>Гарантийный срок на 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lastRenderedPageBreak/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lastRenderedPageBreak/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p w:rsidR="00A57972" w:rsidRDefault="00EA6F68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EA6F68">
        <w:rPr>
          <w:rFonts w:eastAsia="Times New Roman"/>
          <w:b/>
          <w:noProof/>
          <w:sz w:val="23"/>
          <w:szCs w:val="23"/>
          <w:lang w:eastAsia="ru-RU"/>
        </w:rPr>
        <w:drawing>
          <wp:inline distT="0" distB="0" distL="0" distR="0">
            <wp:extent cx="5436235" cy="1914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3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7EA" w:rsidRDefault="009B47EA" w:rsidP="009B47EA">
      <w:pPr>
        <w:autoSpaceDE w:val="0"/>
        <w:autoSpaceDN w:val="0"/>
        <w:adjustRightInd w:val="0"/>
        <w:ind w:firstLine="426"/>
        <w:contextualSpacing/>
        <w:jc w:val="both"/>
        <w:rPr>
          <w:rFonts w:cs="Arial"/>
          <w:iCs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</w:t>
      </w:r>
      <w:r w:rsidRPr="00104DFA">
        <w:rPr>
          <w:rFonts w:cs="Arial"/>
          <w:iCs/>
        </w:rPr>
        <w:t xml:space="preserve"> </w:t>
      </w:r>
      <w:r w:rsidRPr="00057DD2">
        <w:rPr>
          <w:rFonts w:cs="Arial"/>
          <w:b/>
          <w:i/>
          <w:iCs/>
        </w:rPr>
        <w:t>Условия поставки Товара.</w:t>
      </w:r>
    </w:p>
    <w:p w:rsidR="009B47EA" w:rsidRDefault="009B47EA" w:rsidP="009B47EA">
      <w:pPr>
        <w:autoSpaceDE w:val="0"/>
        <w:autoSpaceDN w:val="0"/>
        <w:adjustRightInd w:val="0"/>
        <w:ind w:left="851" w:hanging="142"/>
        <w:contextualSpacing/>
        <w:jc w:val="both"/>
        <w:rPr>
          <w:rFonts w:eastAsia="Times New Roman"/>
          <w:b/>
          <w:color w:val="FF0000"/>
          <w:szCs w:val="23"/>
          <w:lang w:eastAsia="ru-RU"/>
        </w:rPr>
      </w:pPr>
      <w:r w:rsidRPr="00104DFA">
        <w:rPr>
          <w:rFonts w:cs="Arial"/>
          <w:b/>
          <w:iCs/>
          <w:color w:val="FF0000"/>
        </w:rPr>
        <w:t xml:space="preserve">6.1. </w:t>
      </w:r>
      <w:r w:rsidRPr="00104DFA">
        <w:rPr>
          <w:rFonts w:eastAsia="Times New Roman"/>
          <w:b/>
          <w:color w:val="FF0000"/>
          <w:szCs w:val="23"/>
          <w:lang w:eastAsia="ru-RU"/>
        </w:rPr>
        <w:t xml:space="preserve">Реагент </w:t>
      </w:r>
      <w:r w:rsidRPr="00104DFA">
        <w:rPr>
          <w:rFonts w:eastAsia="Times New Roman"/>
          <w:b/>
          <w:color w:val="FF0000"/>
          <w:szCs w:val="23"/>
          <w:lang w:val="en-US" w:eastAsia="ru-RU"/>
        </w:rPr>
        <w:t>N</w:t>
      </w:r>
      <w:r w:rsidRPr="00104DFA">
        <w:rPr>
          <w:rFonts w:eastAsia="Times New Roman"/>
          <w:b/>
          <w:color w:val="FF0000"/>
          <w:szCs w:val="23"/>
          <w:lang w:eastAsia="ru-RU"/>
        </w:rPr>
        <w:t xml:space="preserve">- </w:t>
      </w:r>
      <w:proofErr w:type="spellStart"/>
      <w:r w:rsidRPr="00104DFA">
        <w:rPr>
          <w:rFonts w:eastAsia="Times New Roman"/>
          <w:b/>
          <w:color w:val="FF0000"/>
          <w:szCs w:val="23"/>
          <w:lang w:eastAsia="ru-RU"/>
        </w:rPr>
        <w:t>метилпирролидон</w:t>
      </w:r>
      <w:proofErr w:type="spellEnd"/>
      <w:r w:rsidRPr="00104DFA">
        <w:rPr>
          <w:rFonts w:eastAsia="Times New Roman"/>
          <w:b/>
          <w:color w:val="FF0000"/>
          <w:szCs w:val="23"/>
          <w:lang w:eastAsia="ru-RU"/>
        </w:rPr>
        <w:t xml:space="preserve"> поставляется в наливных возвратных танк-контейнерах, заполняемых по 20,0т (+/- 20%), отгружаемых автотранспортом</w:t>
      </w:r>
      <w:r w:rsidR="00854929">
        <w:rPr>
          <w:rFonts w:eastAsia="Times New Roman"/>
          <w:b/>
          <w:color w:val="FF0000"/>
          <w:szCs w:val="23"/>
          <w:lang w:eastAsia="ru-RU"/>
        </w:rPr>
        <w:t xml:space="preserve"> (письмо подтверждающее вид тары</w:t>
      </w:r>
      <w:bookmarkStart w:id="0" w:name="_GoBack"/>
      <w:bookmarkEnd w:id="0"/>
      <w:r w:rsidR="00854929">
        <w:rPr>
          <w:rFonts w:eastAsia="Times New Roman"/>
          <w:b/>
          <w:color w:val="FF0000"/>
          <w:szCs w:val="23"/>
          <w:lang w:eastAsia="ru-RU"/>
        </w:rPr>
        <w:t>)</w:t>
      </w:r>
      <w:r w:rsidRPr="00104DFA">
        <w:rPr>
          <w:rFonts w:eastAsia="Times New Roman"/>
          <w:b/>
          <w:color w:val="FF0000"/>
          <w:szCs w:val="23"/>
          <w:lang w:eastAsia="ru-RU"/>
        </w:rPr>
        <w:t>.</w:t>
      </w:r>
    </w:p>
    <w:p w:rsidR="00854929" w:rsidRPr="00104DFA" w:rsidRDefault="00854929" w:rsidP="009B47EA">
      <w:pPr>
        <w:autoSpaceDE w:val="0"/>
        <w:autoSpaceDN w:val="0"/>
        <w:adjustRightInd w:val="0"/>
        <w:ind w:left="851" w:hanging="142"/>
        <w:contextualSpacing/>
        <w:jc w:val="both"/>
        <w:rPr>
          <w:rFonts w:eastAsia="Times New Roman"/>
          <w:b/>
          <w:color w:val="FF0000"/>
          <w:szCs w:val="23"/>
          <w:lang w:eastAsia="ru-RU"/>
        </w:rPr>
      </w:pPr>
    </w:p>
    <w:p w:rsidR="009B47EA" w:rsidRDefault="009B47EA" w:rsidP="009B47EA">
      <w:pPr>
        <w:autoSpaceDE w:val="0"/>
        <w:autoSpaceDN w:val="0"/>
        <w:adjustRightInd w:val="0"/>
        <w:ind w:left="709"/>
        <w:jc w:val="both"/>
        <w:rPr>
          <w:rFonts w:eastAsia="Times New Roman"/>
          <w:b/>
          <w:color w:val="FF0000"/>
          <w:szCs w:val="23"/>
          <w:lang w:eastAsia="ru-RU"/>
        </w:rPr>
      </w:pPr>
      <w:r w:rsidRPr="00104DFA">
        <w:rPr>
          <w:rFonts w:cs="Arial"/>
          <w:b/>
          <w:iCs/>
          <w:color w:val="FF0000"/>
        </w:rPr>
        <w:t xml:space="preserve">6.2. </w:t>
      </w:r>
      <w:proofErr w:type="spellStart"/>
      <w:r w:rsidRPr="00104DFA">
        <w:rPr>
          <w:rFonts w:cs="Arial"/>
          <w:b/>
          <w:iCs/>
          <w:color w:val="FF0000"/>
        </w:rPr>
        <w:t>Метилэтилкетон</w:t>
      </w:r>
      <w:proofErr w:type="spellEnd"/>
      <w:r w:rsidRPr="00104DFA">
        <w:rPr>
          <w:rFonts w:cs="Arial"/>
          <w:b/>
          <w:iCs/>
          <w:color w:val="FF0000"/>
        </w:rPr>
        <w:t xml:space="preserve"> (МЭК) поставляется </w:t>
      </w:r>
      <w:r w:rsidRPr="00104DFA">
        <w:rPr>
          <w:rFonts w:eastAsia="Times New Roman"/>
          <w:b/>
          <w:color w:val="FF0000"/>
          <w:szCs w:val="23"/>
          <w:lang w:eastAsia="ru-RU"/>
        </w:rPr>
        <w:t>в наливных возвратных танк-контейнерах, заполняемых по 20,0т (+/- 20%), отгружаемых автотранспортом</w:t>
      </w:r>
      <w:r w:rsidRPr="00104DFA">
        <w:rPr>
          <w:rFonts w:cs="Arial"/>
          <w:b/>
          <w:iCs/>
          <w:color w:val="FF0000"/>
        </w:rPr>
        <w:t xml:space="preserve"> </w:t>
      </w:r>
      <w:r w:rsidR="00854929">
        <w:rPr>
          <w:rFonts w:cs="Arial"/>
          <w:b/>
          <w:iCs/>
          <w:color w:val="FF0000"/>
        </w:rPr>
        <w:t>либо</w:t>
      </w:r>
      <w:r w:rsidRPr="00104DFA">
        <w:rPr>
          <w:rFonts w:cs="Arial"/>
          <w:b/>
          <w:iCs/>
          <w:color w:val="FF0000"/>
        </w:rPr>
        <w:t xml:space="preserve"> в </w:t>
      </w:r>
      <w:proofErr w:type="gramStart"/>
      <w:r w:rsidRPr="00104DFA">
        <w:rPr>
          <w:rFonts w:cs="Arial"/>
          <w:b/>
          <w:iCs/>
          <w:color w:val="FF0000"/>
        </w:rPr>
        <w:t>железнодорожных  цистернах</w:t>
      </w:r>
      <w:proofErr w:type="gramEnd"/>
      <w:r w:rsidRPr="00104DFA">
        <w:rPr>
          <w:rFonts w:cs="Arial"/>
          <w:b/>
          <w:iCs/>
          <w:color w:val="FF0000"/>
        </w:rPr>
        <w:t xml:space="preserve">. Базис поставки – DDP ст. </w:t>
      </w:r>
      <w:proofErr w:type="spellStart"/>
      <w:r w:rsidRPr="00104DFA">
        <w:rPr>
          <w:rFonts w:cs="Arial"/>
          <w:b/>
          <w:iCs/>
          <w:color w:val="FF0000"/>
        </w:rPr>
        <w:t>Новоярославская</w:t>
      </w:r>
      <w:proofErr w:type="spellEnd"/>
      <w:r w:rsidRPr="00104DFA">
        <w:rPr>
          <w:rFonts w:cs="Arial"/>
          <w:b/>
          <w:iCs/>
          <w:color w:val="FF0000"/>
        </w:rPr>
        <w:t xml:space="preserve"> Северной ж/д</w:t>
      </w:r>
      <w:r w:rsidR="00854929">
        <w:rPr>
          <w:rFonts w:cs="Arial"/>
          <w:b/>
          <w:iCs/>
          <w:color w:val="FF0000"/>
        </w:rPr>
        <w:t xml:space="preserve"> </w:t>
      </w:r>
      <w:r w:rsidR="00854929">
        <w:rPr>
          <w:rFonts w:eastAsia="Times New Roman"/>
          <w:b/>
          <w:color w:val="FF0000"/>
          <w:szCs w:val="23"/>
          <w:lang w:eastAsia="ru-RU"/>
        </w:rPr>
        <w:t>(письмо подтверждающее вид тары).</w:t>
      </w:r>
    </w:p>
    <w:p w:rsidR="00854929" w:rsidRPr="00104DFA" w:rsidRDefault="00854929" w:rsidP="009B47EA">
      <w:pPr>
        <w:autoSpaceDE w:val="0"/>
        <w:autoSpaceDN w:val="0"/>
        <w:adjustRightInd w:val="0"/>
        <w:ind w:left="709"/>
        <w:jc w:val="both"/>
        <w:rPr>
          <w:rFonts w:cs="Arial"/>
          <w:b/>
          <w:iCs/>
          <w:color w:val="FF0000"/>
        </w:rPr>
      </w:pPr>
    </w:p>
    <w:p w:rsidR="009B47EA" w:rsidRDefault="009B47EA" w:rsidP="009B47EA">
      <w:pPr>
        <w:autoSpaceDE w:val="0"/>
        <w:autoSpaceDN w:val="0"/>
        <w:adjustRightInd w:val="0"/>
        <w:ind w:left="709" w:firstLine="2"/>
        <w:jc w:val="both"/>
        <w:rPr>
          <w:rFonts w:eastAsia="Times New Roman"/>
          <w:b/>
          <w:color w:val="FF0000"/>
          <w:szCs w:val="23"/>
          <w:lang w:eastAsia="ru-RU"/>
        </w:rPr>
      </w:pPr>
      <w:r w:rsidRPr="006617D2">
        <w:rPr>
          <w:rFonts w:cs="Arial"/>
          <w:b/>
          <w:iCs/>
          <w:color w:val="FF0000"/>
        </w:rPr>
        <w:t xml:space="preserve">6.3.   </w:t>
      </w:r>
      <w:proofErr w:type="spellStart"/>
      <w:r w:rsidRPr="006617D2">
        <w:rPr>
          <w:rFonts w:cs="Arial"/>
          <w:b/>
          <w:iCs/>
          <w:color w:val="FF0000"/>
        </w:rPr>
        <w:t>Диметилдисульфид</w:t>
      </w:r>
      <w:proofErr w:type="spellEnd"/>
      <w:r w:rsidRPr="006617D2">
        <w:rPr>
          <w:rFonts w:cs="Arial"/>
          <w:b/>
          <w:iCs/>
          <w:color w:val="FF0000"/>
        </w:rPr>
        <w:t xml:space="preserve"> поставляется в </w:t>
      </w:r>
      <w:r w:rsidRPr="006617D2">
        <w:rPr>
          <w:rFonts w:eastAsia="Times New Roman"/>
          <w:b/>
          <w:color w:val="FF0000"/>
          <w:szCs w:val="24"/>
          <w:lang w:eastAsia="ru-RU"/>
        </w:rPr>
        <w:t>стальных или пластиковых бочках по 200-210кг нетто, на паллетах, либо 1 м</w:t>
      </w:r>
      <w:r w:rsidRPr="006617D2">
        <w:rPr>
          <w:rFonts w:eastAsia="Times New Roman"/>
          <w:b/>
          <w:color w:val="FF0000"/>
          <w:szCs w:val="24"/>
          <w:vertAlign w:val="superscript"/>
          <w:lang w:eastAsia="ru-RU"/>
        </w:rPr>
        <w:t>3</w:t>
      </w:r>
      <w:r w:rsidRPr="006617D2">
        <w:rPr>
          <w:rFonts w:eastAsia="Times New Roman"/>
          <w:b/>
          <w:color w:val="FF0000"/>
          <w:szCs w:val="24"/>
          <w:lang w:eastAsia="ru-RU"/>
        </w:rPr>
        <w:t xml:space="preserve"> емкости</w:t>
      </w:r>
      <w:r w:rsidR="00854929">
        <w:rPr>
          <w:rFonts w:eastAsia="Times New Roman"/>
          <w:b/>
          <w:color w:val="FF0000"/>
          <w:szCs w:val="24"/>
          <w:lang w:eastAsia="ru-RU"/>
        </w:rPr>
        <w:t xml:space="preserve"> </w:t>
      </w:r>
      <w:r w:rsidR="00453917">
        <w:rPr>
          <w:rFonts w:eastAsia="Times New Roman"/>
          <w:b/>
          <w:color w:val="FF0000"/>
          <w:szCs w:val="23"/>
          <w:lang w:eastAsia="ru-RU"/>
        </w:rPr>
        <w:t>(письмо подтверждающее вид тары</w:t>
      </w:r>
      <w:r w:rsidR="00854929">
        <w:rPr>
          <w:rFonts w:eastAsia="Times New Roman"/>
          <w:b/>
          <w:color w:val="FF0000"/>
          <w:szCs w:val="23"/>
          <w:lang w:eastAsia="ru-RU"/>
        </w:rPr>
        <w:t>).</w:t>
      </w:r>
    </w:p>
    <w:p w:rsidR="00854929" w:rsidRPr="006617D2" w:rsidRDefault="00854929" w:rsidP="009B47EA">
      <w:pPr>
        <w:autoSpaceDE w:val="0"/>
        <w:autoSpaceDN w:val="0"/>
        <w:adjustRightInd w:val="0"/>
        <w:ind w:left="709" w:firstLine="2"/>
        <w:jc w:val="both"/>
        <w:rPr>
          <w:rFonts w:cs="Arial"/>
          <w:b/>
          <w:iCs/>
          <w:color w:val="FF0000"/>
        </w:rPr>
      </w:pPr>
    </w:p>
    <w:p w:rsidR="009B47EA" w:rsidRPr="009A75C6" w:rsidRDefault="009B47EA" w:rsidP="009B47EA">
      <w:pPr>
        <w:autoSpaceDE w:val="0"/>
        <w:autoSpaceDN w:val="0"/>
        <w:adjustRightInd w:val="0"/>
        <w:ind w:firstLine="426"/>
        <w:jc w:val="both"/>
        <w:rPr>
          <w:rFonts w:cs="Arial"/>
          <w:iCs/>
        </w:rPr>
      </w:pPr>
      <w:r>
        <w:rPr>
          <w:rFonts w:cs="Arial"/>
          <w:iCs/>
        </w:rPr>
        <w:tab/>
        <w:t xml:space="preserve">6.4. </w:t>
      </w:r>
      <w:r w:rsidRPr="00D6126F">
        <w:rPr>
          <w:rFonts w:cs="Arial"/>
          <w:iCs/>
        </w:rPr>
        <w:t>Товар поставляется</w:t>
      </w:r>
      <w:r>
        <w:rPr>
          <w:rFonts w:cs="Arial"/>
          <w:iCs/>
        </w:rPr>
        <w:t xml:space="preserve"> в соответствии с графиком.</w:t>
      </w:r>
    </w:p>
    <w:p w:rsidR="009B47EA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>7.</w:t>
      </w:r>
      <w:r w:rsidRPr="0043396E">
        <w:rPr>
          <w:rFonts w:eastAsia="Times New Roman"/>
          <w:b/>
          <w:sz w:val="23"/>
          <w:szCs w:val="23"/>
          <w:lang w:eastAsia="ru-RU"/>
        </w:rPr>
        <w:t xml:space="preserve">  Особые условия:</w:t>
      </w:r>
      <w:r>
        <w:rPr>
          <w:rFonts w:eastAsia="Times New Roman"/>
          <w:b/>
          <w:sz w:val="23"/>
          <w:szCs w:val="23"/>
          <w:lang w:eastAsia="ru-RU"/>
        </w:rPr>
        <w:t xml:space="preserve"> Нет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453917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453917"/>
    <w:rsid w:val="004B5D2D"/>
    <w:rsid w:val="005756AD"/>
    <w:rsid w:val="007C168E"/>
    <w:rsid w:val="00854929"/>
    <w:rsid w:val="009B47EA"/>
    <w:rsid w:val="00A1250B"/>
    <w:rsid w:val="00A57972"/>
    <w:rsid w:val="00CD00A4"/>
    <w:rsid w:val="00DD00C5"/>
    <w:rsid w:val="00EA6F68"/>
    <w:rsid w:val="00F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D88B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3">
    <w:name w:val="heading 3"/>
    <w:basedOn w:val="a0"/>
    <w:next w:val="a0"/>
    <w:link w:val="30"/>
    <w:qFormat/>
    <w:rsid w:val="009B47EA"/>
    <w:pPr>
      <w:keepNext/>
      <w:widowControl w:val="0"/>
      <w:numPr>
        <w:ilvl w:val="2"/>
        <w:numId w:val="3"/>
      </w:numPr>
      <w:outlineLvl w:val="2"/>
    </w:pPr>
    <w:rPr>
      <w:rFonts w:ascii="Impact" w:hAnsi="Impact"/>
      <w:color w:val="000000"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A57972"/>
    <w:pPr>
      <w:spacing w:after="120"/>
    </w:pPr>
  </w:style>
  <w:style w:type="character" w:customStyle="1" w:styleId="a5">
    <w:name w:val="Основной текст Знак"/>
    <w:basedOn w:val="a1"/>
    <w:link w:val="a4"/>
    <w:rsid w:val="00A57972"/>
    <w:rPr>
      <w:rFonts w:ascii="Times New Roman" w:hAnsi="Times New Roman" w:cs="Times New Roman"/>
      <w:sz w:val="24"/>
    </w:rPr>
  </w:style>
  <w:style w:type="paragraph" w:styleId="a6">
    <w:name w:val="List Paragraph"/>
    <w:basedOn w:val="a0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7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30">
    <w:name w:val="Заголовок 3 Знак"/>
    <w:basedOn w:val="a1"/>
    <w:link w:val="3"/>
    <w:rsid w:val="009B47EA"/>
    <w:rPr>
      <w:rFonts w:ascii="Impact" w:hAnsi="Impact" w:cs="Times New Roman"/>
      <w:color w:val="000000"/>
      <w:sz w:val="40"/>
    </w:rPr>
  </w:style>
  <w:style w:type="paragraph" w:customStyle="1" w:styleId="a8">
    <w:name w:val="Название документа"/>
    <w:basedOn w:val="a0"/>
    <w:next w:val="a0"/>
    <w:rsid w:val="009B47EA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a">
    <w:name w:val="Таблица перечень"/>
    <w:basedOn w:val="a0"/>
    <w:rsid w:val="009B47EA"/>
    <w:pPr>
      <w:keepLines/>
      <w:numPr>
        <w:numId w:val="3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paragraph" w:styleId="a9">
    <w:name w:val="Balloon Text"/>
    <w:basedOn w:val="a0"/>
    <w:link w:val="aa"/>
    <w:uiPriority w:val="99"/>
    <w:semiHidden/>
    <w:unhideWhenUsed/>
    <w:rsid w:val="004539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53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001AF-24FC-4FFE-B15C-E8924F1E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2018-07-05T04:26:00Z</cp:lastPrinted>
  <dcterms:created xsi:type="dcterms:W3CDTF">2018-06-26T04:04:00Z</dcterms:created>
  <dcterms:modified xsi:type="dcterms:W3CDTF">2018-07-05T04:26:00Z</dcterms:modified>
</cp:coreProperties>
</file>